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3DAFA" w14:textId="60645EEB" w:rsidR="00C25657" w:rsidRPr="00DE53CC" w:rsidRDefault="00430FB4" w:rsidP="00C25657">
      <w:pPr>
        <w:spacing w:after="0" w:line="257" w:lineRule="auto"/>
        <w:jc w:val="center"/>
        <w:rPr>
          <w:b/>
          <w:color w:val="000000" w:themeColor="text1"/>
          <w:lang w:val="fr-FR"/>
        </w:rPr>
      </w:pPr>
      <w:r w:rsidRPr="00DE53CC">
        <w:rPr>
          <w:b/>
          <w:color w:val="000000" w:themeColor="text1"/>
          <w:lang w:val="fr-FR"/>
        </w:rPr>
        <w:t>Les d</w:t>
      </w:r>
      <w:r w:rsidR="00443253" w:rsidRPr="00DE53CC">
        <w:rPr>
          <w:b/>
          <w:color w:val="000000" w:themeColor="text1"/>
          <w:lang w:val="fr-FR"/>
        </w:rPr>
        <w:t>egrés de grammaticalisation</w:t>
      </w:r>
    </w:p>
    <w:p w14:paraId="75E97216" w14:textId="328266C6" w:rsidR="00443253" w:rsidRPr="00DE53CC" w:rsidRDefault="00430FB4" w:rsidP="00C25657">
      <w:pPr>
        <w:spacing w:after="0" w:line="257" w:lineRule="auto"/>
        <w:jc w:val="center"/>
        <w:rPr>
          <w:b/>
          <w:color w:val="000000" w:themeColor="text1"/>
          <w:lang w:val="fr-FR"/>
        </w:rPr>
      </w:pPr>
      <w:r w:rsidRPr="00DE53CC">
        <w:rPr>
          <w:b/>
          <w:color w:val="000000" w:themeColor="text1"/>
          <w:lang w:val="fr-FR"/>
        </w:rPr>
        <w:t>dans les</w:t>
      </w:r>
      <w:r w:rsidR="00443253" w:rsidRPr="00DE53CC">
        <w:rPr>
          <w:b/>
          <w:color w:val="000000" w:themeColor="text1"/>
          <w:lang w:val="fr-FR"/>
        </w:rPr>
        <w:t xml:space="preserve"> binominaux anglais et français désignant des grandes quantités</w:t>
      </w:r>
    </w:p>
    <w:p w14:paraId="1304C1CD" w14:textId="388B8A4C" w:rsidR="00C25657" w:rsidRPr="00DE53CC" w:rsidRDefault="00C25657" w:rsidP="00C25657">
      <w:pPr>
        <w:spacing w:after="0" w:line="257" w:lineRule="auto"/>
        <w:jc w:val="both"/>
        <w:rPr>
          <w:color w:val="000000" w:themeColor="text1"/>
          <w:lang w:val="fr-FR"/>
        </w:rPr>
      </w:pPr>
    </w:p>
    <w:p w14:paraId="5C45619F" w14:textId="02E48D3C" w:rsidR="00C25657" w:rsidRPr="00DE53CC" w:rsidRDefault="00C25657" w:rsidP="00C25657">
      <w:pPr>
        <w:spacing w:after="0" w:line="257" w:lineRule="auto"/>
        <w:jc w:val="both"/>
        <w:rPr>
          <w:color w:val="000000" w:themeColor="text1"/>
          <w:lang w:val="fr-FR"/>
        </w:rPr>
      </w:pPr>
      <w:r w:rsidRPr="00DE53CC">
        <w:rPr>
          <w:color w:val="000000" w:themeColor="text1"/>
          <w:lang w:val="fr-FR"/>
        </w:rPr>
        <w:t>Laure Gardelle, Université Grenoble Alpes</w:t>
      </w:r>
    </w:p>
    <w:p w14:paraId="150ADAB1" w14:textId="06E0004B" w:rsidR="00C25657" w:rsidRPr="00DE53CC" w:rsidRDefault="00C25657" w:rsidP="00C25657">
      <w:pPr>
        <w:spacing w:after="0" w:line="257" w:lineRule="auto"/>
        <w:jc w:val="both"/>
        <w:rPr>
          <w:color w:val="000000" w:themeColor="text1"/>
          <w:lang w:val="fr-FR"/>
        </w:rPr>
      </w:pPr>
      <w:r w:rsidRPr="00DE53CC">
        <w:rPr>
          <w:color w:val="000000" w:themeColor="text1"/>
          <w:lang w:val="fr-FR"/>
        </w:rPr>
        <w:t>Wiltrud Mihatsch, Université de Tübingen</w:t>
      </w:r>
    </w:p>
    <w:p w14:paraId="5A77F391" w14:textId="77777777" w:rsidR="00C25657" w:rsidRPr="00DE53CC" w:rsidRDefault="00C25657" w:rsidP="00C25657">
      <w:pPr>
        <w:spacing w:after="0" w:line="257" w:lineRule="auto"/>
        <w:jc w:val="both"/>
        <w:rPr>
          <w:color w:val="000000" w:themeColor="text1"/>
          <w:lang w:val="fr-FR"/>
        </w:rPr>
      </w:pPr>
    </w:p>
    <w:p w14:paraId="17CABC7E" w14:textId="2062E1BF" w:rsidR="00443253" w:rsidRPr="00DE53CC" w:rsidRDefault="00443253" w:rsidP="00B50010">
      <w:pPr>
        <w:jc w:val="both"/>
        <w:rPr>
          <w:color w:val="000000" w:themeColor="text1"/>
          <w:lang w:val="fr-FR"/>
        </w:rPr>
      </w:pPr>
      <w:r w:rsidRPr="00DE53CC">
        <w:rPr>
          <w:color w:val="000000" w:themeColor="text1"/>
          <w:lang w:val="fr-FR"/>
        </w:rPr>
        <w:t xml:space="preserve">D'un point de vue translinguistique, les binominaux du type </w:t>
      </w:r>
      <w:r w:rsidRPr="00DE53CC">
        <w:rPr>
          <w:i/>
          <w:iCs/>
          <w:color w:val="000000" w:themeColor="text1"/>
          <w:lang w:val="fr-FR"/>
        </w:rPr>
        <w:t>N1 de N2</w:t>
      </w:r>
      <w:r w:rsidRPr="00DE53CC">
        <w:rPr>
          <w:color w:val="000000" w:themeColor="text1"/>
          <w:lang w:val="fr-FR"/>
        </w:rPr>
        <w:t xml:space="preserve"> sont une source courante de quantificateurs se référant à de grandes quantités</w:t>
      </w:r>
      <w:r w:rsidR="0092148D" w:rsidRPr="00DE53CC">
        <w:rPr>
          <w:color w:val="000000" w:themeColor="text1"/>
          <w:lang w:val="fr-FR"/>
        </w:rPr>
        <w:t>, ainsi</w:t>
      </w:r>
      <w:r w:rsidRPr="00DE53CC">
        <w:rPr>
          <w:color w:val="000000" w:themeColor="text1"/>
          <w:lang w:val="fr-FR"/>
        </w:rPr>
        <w:t xml:space="preserve"> l'anglais </w:t>
      </w:r>
      <w:r w:rsidRPr="00DE53CC">
        <w:rPr>
          <w:i/>
          <w:iCs/>
          <w:color w:val="000000" w:themeColor="text1"/>
          <w:lang w:val="fr-FR"/>
        </w:rPr>
        <w:t>a lot of</w:t>
      </w:r>
      <w:r w:rsidRPr="00DE53CC">
        <w:rPr>
          <w:color w:val="000000" w:themeColor="text1"/>
          <w:lang w:val="fr-FR"/>
        </w:rPr>
        <w:t xml:space="preserve"> ou le français </w:t>
      </w:r>
      <w:r w:rsidRPr="00DE53CC">
        <w:rPr>
          <w:i/>
          <w:iCs/>
          <w:color w:val="000000" w:themeColor="text1"/>
          <w:lang w:val="fr-FR"/>
        </w:rPr>
        <w:t>un tas de</w:t>
      </w:r>
      <w:r w:rsidRPr="00DE53CC">
        <w:rPr>
          <w:color w:val="000000" w:themeColor="text1"/>
          <w:lang w:val="fr-FR"/>
        </w:rPr>
        <w:t xml:space="preserve"> (et le désormais largement opaque </w:t>
      </w:r>
      <w:r w:rsidRPr="00DE53CC">
        <w:rPr>
          <w:i/>
          <w:iCs/>
          <w:color w:val="000000" w:themeColor="text1"/>
          <w:lang w:val="fr-FR"/>
        </w:rPr>
        <w:t>beaucoup de</w:t>
      </w:r>
      <w:r w:rsidRPr="00DE53CC">
        <w:rPr>
          <w:color w:val="000000" w:themeColor="text1"/>
          <w:lang w:val="fr-FR"/>
        </w:rPr>
        <w:t>)</w:t>
      </w:r>
      <w:r w:rsidR="0092148D" w:rsidRPr="00DE53CC">
        <w:rPr>
          <w:color w:val="000000" w:themeColor="text1"/>
          <w:lang w:val="fr-FR"/>
        </w:rPr>
        <w:t>.</w:t>
      </w:r>
      <w:r w:rsidR="004A5B7F" w:rsidRPr="00DE53CC">
        <w:rPr>
          <w:color w:val="000000" w:themeColor="text1"/>
          <w:lang w:val="fr-FR"/>
        </w:rPr>
        <w:t xml:space="preserve"> Les éléments nominaux</w:t>
      </w:r>
      <w:r w:rsidR="0092148D" w:rsidRPr="00DE53CC">
        <w:rPr>
          <w:color w:val="000000" w:themeColor="text1"/>
          <w:lang w:val="fr-FR"/>
        </w:rPr>
        <w:t xml:space="preserve"> ne sont pas la seule source de quantificateurs (on trouve aussi des adjectifs</w:t>
      </w:r>
      <w:r w:rsidR="00152EC8" w:rsidRPr="00DE53CC">
        <w:rPr>
          <w:color w:val="000000" w:themeColor="text1"/>
          <w:lang w:val="fr-FR"/>
        </w:rPr>
        <w:t xml:space="preserve"> comme </w:t>
      </w:r>
      <w:r w:rsidR="00152EC8" w:rsidRPr="00DE53CC">
        <w:rPr>
          <w:i/>
          <w:iCs/>
          <w:color w:val="000000" w:themeColor="text1"/>
          <w:lang w:val="fr-FR"/>
        </w:rPr>
        <w:t>plein de</w:t>
      </w:r>
      <w:r w:rsidR="0092148D" w:rsidRPr="00DE53CC">
        <w:rPr>
          <w:color w:val="000000" w:themeColor="text1"/>
          <w:lang w:val="fr-FR"/>
        </w:rPr>
        <w:t xml:space="preserve">, ou encore des adverbes, ainsi dans </w:t>
      </w:r>
      <w:r w:rsidR="0092148D" w:rsidRPr="00DE53CC">
        <w:rPr>
          <w:i/>
          <w:iCs/>
          <w:color w:val="000000" w:themeColor="text1"/>
          <w:lang w:val="fr-FR"/>
        </w:rPr>
        <w:t>énormément de</w:t>
      </w:r>
      <w:r w:rsidR="0092148D" w:rsidRPr="00DE53CC">
        <w:rPr>
          <w:color w:val="000000" w:themeColor="text1"/>
          <w:lang w:val="fr-FR"/>
        </w:rPr>
        <w:t xml:space="preserve">), mais c’est sur les </w:t>
      </w:r>
      <w:r w:rsidR="004A5B7F" w:rsidRPr="00DE53CC">
        <w:rPr>
          <w:color w:val="000000" w:themeColor="text1"/>
          <w:lang w:val="fr-FR"/>
        </w:rPr>
        <w:t>syntagmes binominaux</w:t>
      </w:r>
      <w:r w:rsidR="0092148D" w:rsidRPr="00DE53CC">
        <w:rPr>
          <w:color w:val="000000" w:themeColor="text1"/>
          <w:lang w:val="fr-FR"/>
        </w:rPr>
        <w:t xml:space="preserve"> que se concentrera la présente étude. </w:t>
      </w:r>
    </w:p>
    <w:p w14:paraId="57ADE30C" w14:textId="4977B01E" w:rsidR="00443253" w:rsidRPr="00DE53CC" w:rsidRDefault="00443253" w:rsidP="006C4BDE">
      <w:pPr>
        <w:jc w:val="both"/>
        <w:rPr>
          <w:color w:val="000000" w:themeColor="text1"/>
          <w:lang w:val="fr-FR"/>
        </w:rPr>
      </w:pPr>
      <w:r w:rsidRPr="00DE53CC">
        <w:rPr>
          <w:color w:val="000000" w:themeColor="text1"/>
          <w:lang w:val="fr-FR"/>
        </w:rPr>
        <w:t xml:space="preserve">L'objectif de notre exposé est d'étudier les </w:t>
      </w:r>
      <w:r w:rsidR="0092148D" w:rsidRPr="00DE53CC">
        <w:rPr>
          <w:color w:val="000000" w:themeColor="text1"/>
          <w:lang w:val="fr-FR"/>
        </w:rPr>
        <w:t>indices</w:t>
      </w:r>
      <w:r w:rsidRPr="00DE53CC">
        <w:rPr>
          <w:color w:val="000000" w:themeColor="text1"/>
          <w:lang w:val="fr-FR"/>
        </w:rPr>
        <w:t xml:space="preserve"> de grammaticalisation d</w:t>
      </w:r>
      <w:r w:rsidR="00430FB4" w:rsidRPr="00DE53CC">
        <w:rPr>
          <w:color w:val="000000" w:themeColor="text1"/>
          <w:lang w:val="fr-FR"/>
        </w:rPr>
        <w:t>ans</w:t>
      </w:r>
      <w:r w:rsidRPr="00DE53CC">
        <w:rPr>
          <w:color w:val="000000" w:themeColor="text1"/>
          <w:lang w:val="fr-FR"/>
        </w:rPr>
        <w:t xml:space="preserve"> </w:t>
      </w:r>
      <w:r w:rsidR="004A5B7F" w:rsidRPr="00DE53CC">
        <w:rPr>
          <w:color w:val="000000" w:themeColor="text1"/>
          <w:lang w:val="fr-FR"/>
        </w:rPr>
        <w:t>ces binominaux</w:t>
      </w:r>
      <w:r w:rsidRPr="00DE53CC">
        <w:rPr>
          <w:color w:val="000000" w:themeColor="text1"/>
          <w:lang w:val="fr-FR"/>
        </w:rPr>
        <w:t xml:space="preserve"> en français et en anglais</w:t>
      </w:r>
      <w:r w:rsidR="0092148D" w:rsidRPr="00DE53CC">
        <w:rPr>
          <w:color w:val="000000" w:themeColor="text1"/>
          <w:lang w:val="fr-FR"/>
        </w:rPr>
        <w:t>,</w:t>
      </w:r>
      <w:r w:rsidRPr="00DE53CC">
        <w:rPr>
          <w:color w:val="000000" w:themeColor="text1"/>
          <w:lang w:val="fr-FR"/>
        </w:rPr>
        <w:t xml:space="preserve"> en comparant des quantificateurs </w:t>
      </w:r>
      <w:r w:rsidR="0092148D" w:rsidRPr="00DE53CC">
        <w:rPr>
          <w:color w:val="000000" w:themeColor="text1"/>
          <w:lang w:val="fr-FR"/>
        </w:rPr>
        <w:t>pleinement</w:t>
      </w:r>
      <w:r w:rsidRPr="00DE53CC">
        <w:rPr>
          <w:color w:val="000000" w:themeColor="text1"/>
          <w:lang w:val="fr-FR"/>
        </w:rPr>
        <w:t xml:space="preserve"> établis avec des binominaux partiellement lexicaux </w:t>
      </w:r>
      <w:r w:rsidR="004A5B7F" w:rsidRPr="00DE53CC">
        <w:rPr>
          <w:color w:val="000000" w:themeColor="text1"/>
          <w:lang w:val="fr-FR"/>
        </w:rPr>
        <w:t>et</w:t>
      </w:r>
      <w:r w:rsidRPr="00DE53CC">
        <w:rPr>
          <w:color w:val="000000" w:themeColor="text1"/>
          <w:lang w:val="fr-FR"/>
        </w:rPr>
        <w:t xml:space="preserve"> des binominaux lexicaux utilisés sporadiquement pour quantifier. L'</w:t>
      </w:r>
      <w:r w:rsidR="00430FB4" w:rsidRPr="00DE53CC">
        <w:rPr>
          <w:rFonts w:cstheme="minorHAnsi"/>
          <w:color w:val="000000" w:themeColor="text1"/>
          <w:lang w:val="fr-FR"/>
        </w:rPr>
        <w:t>É</w:t>
      </w:r>
      <w:r w:rsidRPr="00DE53CC">
        <w:rPr>
          <w:color w:val="000000" w:themeColor="text1"/>
          <w:lang w:val="fr-FR"/>
        </w:rPr>
        <w:t xml:space="preserve">chelle de </w:t>
      </w:r>
      <w:r w:rsidR="00430FB4" w:rsidRPr="00DE53CC">
        <w:rPr>
          <w:color w:val="000000" w:themeColor="text1"/>
          <w:lang w:val="fr-FR"/>
        </w:rPr>
        <w:t>Q</w:t>
      </w:r>
      <w:r w:rsidRPr="00DE53CC">
        <w:rPr>
          <w:color w:val="000000" w:themeColor="text1"/>
          <w:lang w:val="fr-FR"/>
        </w:rPr>
        <w:t>uantification de Gardelle (2019) guidera notre analyse.</w:t>
      </w:r>
      <w:r w:rsidR="00E85FBB" w:rsidRPr="00DE53CC">
        <w:rPr>
          <w:color w:val="000000" w:themeColor="text1"/>
          <w:lang w:val="fr-FR"/>
        </w:rPr>
        <w:t xml:space="preserve"> Nous nous concentr</w:t>
      </w:r>
      <w:r w:rsidR="000C4293" w:rsidRPr="00DE53CC">
        <w:rPr>
          <w:color w:val="000000" w:themeColor="text1"/>
          <w:lang w:val="fr-FR"/>
        </w:rPr>
        <w:t>er</w:t>
      </w:r>
      <w:r w:rsidR="00E85FBB" w:rsidRPr="00DE53CC">
        <w:rPr>
          <w:color w:val="000000" w:themeColor="text1"/>
          <w:lang w:val="fr-FR"/>
        </w:rPr>
        <w:t xml:space="preserve">ons sur </w:t>
      </w:r>
      <w:r w:rsidR="00172571" w:rsidRPr="00DE53CC">
        <w:rPr>
          <w:color w:val="000000" w:themeColor="text1"/>
          <w:lang w:val="fr-FR"/>
        </w:rPr>
        <w:t xml:space="preserve">un échantillon de </w:t>
      </w:r>
      <w:r w:rsidR="006C4BDE" w:rsidRPr="00DE53CC">
        <w:rPr>
          <w:color w:val="000000" w:themeColor="text1"/>
          <w:lang w:val="fr-FR"/>
        </w:rPr>
        <w:t>six</w:t>
      </w:r>
      <w:r w:rsidR="00E85FBB" w:rsidRPr="00DE53CC">
        <w:rPr>
          <w:color w:val="000000" w:themeColor="text1"/>
          <w:lang w:val="fr-FR"/>
        </w:rPr>
        <w:t xml:space="preserve"> noms </w:t>
      </w:r>
      <w:r w:rsidR="006C4BDE" w:rsidRPr="00DE53CC">
        <w:rPr>
          <w:color w:val="000000" w:themeColor="text1"/>
          <w:lang w:val="fr-FR"/>
        </w:rPr>
        <w:t xml:space="preserve">au sémantisme littéral divers, pour lesquels une indication de grande quantité est présente dans le </w:t>
      </w:r>
      <w:r w:rsidR="006C4BDE" w:rsidRPr="00DE53CC">
        <w:rPr>
          <w:i/>
          <w:iCs/>
          <w:color w:val="000000" w:themeColor="text1"/>
          <w:lang w:val="fr-FR"/>
        </w:rPr>
        <w:t>Grand Robert</w:t>
      </w:r>
      <w:r w:rsidR="006C4BDE" w:rsidRPr="00DE53CC">
        <w:rPr>
          <w:color w:val="000000" w:themeColor="text1"/>
          <w:lang w:val="fr-FR"/>
        </w:rPr>
        <w:t xml:space="preserve"> ou l’</w:t>
      </w:r>
      <w:r w:rsidR="006C4BDE" w:rsidRPr="00DE53CC">
        <w:rPr>
          <w:i/>
          <w:iCs/>
          <w:color w:val="000000" w:themeColor="text1"/>
          <w:lang w:val="fr-FR"/>
        </w:rPr>
        <w:t>OED</w:t>
      </w:r>
      <w:r w:rsidR="006C4BDE" w:rsidRPr="00DE53CC">
        <w:rPr>
          <w:color w:val="000000" w:themeColor="text1"/>
          <w:lang w:val="fr-FR"/>
        </w:rPr>
        <w:t xml:space="preserve"> (2024) </w:t>
      </w:r>
      <w:r w:rsidR="000C4293" w:rsidRPr="00DE53CC">
        <w:rPr>
          <w:color w:val="000000" w:themeColor="text1"/>
          <w:lang w:val="fr-FR"/>
        </w:rPr>
        <w:t>pour le</w:t>
      </w:r>
      <w:r w:rsidR="006C4BDE" w:rsidRPr="00DE53CC">
        <w:rPr>
          <w:color w:val="000000" w:themeColor="text1"/>
          <w:lang w:val="fr-FR"/>
        </w:rPr>
        <w:t xml:space="preserve"> singulier </w:t>
      </w:r>
      <w:r w:rsidR="000C4293" w:rsidRPr="00DE53CC">
        <w:rPr>
          <w:color w:val="000000" w:themeColor="text1"/>
          <w:lang w:val="fr-FR"/>
        </w:rPr>
        <w:t>et/ou le</w:t>
      </w:r>
      <w:r w:rsidR="006C4BDE" w:rsidRPr="00DE53CC">
        <w:rPr>
          <w:color w:val="000000" w:themeColor="text1"/>
          <w:lang w:val="fr-FR"/>
        </w:rPr>
        <w:t xml:space="preserve"> pluriel : </w:t>
      </w:r>
      <w:r w:rsidR="00E85FBB" w:rsidRPr="00DE53CC">
        <w:rPr>
          <w:i/>
          <w:iCs/>
          <w:color w:val="000000" w:themeColor="text1"/>
          <w:lang w:val="fr-FR"/>
        </w:rPr>
        <w:t>foule</w:t>
      </w:r>
      <w:r w:rsidR="006C4BDE" w:rsidRPr="00DE53CC">
        <w:rPr>
          <w:i/>
          <w:iCs/>
          <w:color w:val="000000" w:themeColor="text1"/>
          <w:lang w:val="fr-FR"/>
        </w:rPr>
        <w:t xml:space="preserve"> / crowd</w:t>
      </w:r>
      <w:r w:rsidR="00E85FBB" w:rsidRPr="00DE53CC">
        <w:rPr>
          <w:color w:val="000000" w:themeColor="text1"/>
          <w:lang w:val="fr-FR"/>
        </w:rPr>
        <w:t xml:space="preserve"> (nom</w:t>
      </w:r>
      <w:r w:rsidR="006C4BDE" w:rsidRPr="00DE53CC">
        <w:rPr>
          <w:color w:val="000000" w:themeColor="text1"/>
          <w:lang w:val="fr-FR"/>
        </w:rPr>
        <w:t>s</w:t>
      </w:r>
      <w:r w:rsidR="00E85FBB" w:rsidRPr="00DE53CC">
        <w:rPr>
          <w:color w:val="000000" w:themeColor="text1"/>
          <w:lang w:val="fr-FR"/>
        </w:rPr>
        <w:t xml:space="preserve"> collectif</w:t>
      </w:r>
      <w:r w:rsidR="006C4BDE" w:rsidRPr="00DE53CC">
        <w:rPr>
          <w:color w:val="000000" w:themeColor="text1"/>
          <w:lang w:val="fr-FR"/>
        </w:rPr>
        <w:t>s</w:t>
      </w:r>
      <w:r w:rsidR="00E85FBB" w:rsidRPr="00DE53CC">
        <w:rPr>
          <w:color w:val="000000" w:themeColor="text1"/>
          <w:lang w:val="fr-FR"/>
        </w:rPr>
        <w:t xml:space="preserve">), </w:t>
      </w:r>
      <w:r w:rsidR="00E85FBB" w:rsidRPr="00DE53CC">
        <w:rPr>
          <w:i/>
          <w:iCs/>
          <w:color w:val="000000" w:themeColor="text1"/>
          <w:lang w:val="fr-FR"/>
        </w:rPr>
        <w:t>paquet</w:t>
      </w:r>
      <w:r w:rsidR="00E85FBB" w:rsidRPr="00DE53CC">
        <w:rPr>
          <w:color w:val="000000" w:themeColor="text1"/>
          <w:lang w:val="fr-FR"/>
        </w:rPr>
        <w:t xml:space="preserve"> </w:t>
      </w:r>
      <w:r w:rsidR="006C4BDE" w:rsidRPr="00DE53CC">
        <w:rPr>
          <w:color w:val="000000" w:themeColor="text1"/>
          <w:lang w:val="fr-FR"/>
        </w:rPr>
        <w:t xml:space="preserve">/ </w:t>
      </w:r>
      <w:r w:rsidR="006C4BDE" w:rsidRPr="00DE53CC">
        <w:rPr>
          <w:i/>
          <w:iCs/>
          <w:color w:val="000000" w:themeColor="text1"/>
          <w:lang w:val="fr-FR"/>
        </w:rPr>
        <w:t xml:space="preserve">bag </w:t>
      </w:r>
      <w:r w:rsidR="00E85FBB" w:rsidRPr="00DE53CC">
        <w:rPr>
          <w:color w:val="000000" w:themeColor="text1"/>
          <w:lang w:val="fr-FR"/>
        </w:rPr>
        <w:t>(noms de contenants)</w:t>
      </w:r>
      <w:r w:rsidR="006C4BDE" w:rsidRPr="00DE53CC">
        <w:rPr>
          <w:color w:val="000000" w:themeColor="text1"/>
          <w:lang w:val="fr-FR"/>
        </w:rPr>
        <w:t>,</w:t>
      </w:r>
      <w:r w:rsidR="00E85FBB" w:rsidRPr="00DE53CC">
        <w:rPr>
          <w:color w:val="000000" w:themeColor="text1"/>
          <w:lang w:val="fr-FR"/>
        </w:rPr>
        <w:t xml:space="preserve"> et </w:t>
      </w:r>
      <w:r w:rsidR="00E85FBB" w:rsidRPr="00DE53CC">
        <w:rPr>
          <w:i/>
          <w:iCs/>
          <w:color w:val="000000" w:themeColor="text1"/>
          <w:lang w:val="fr-FR"/>
        </w:rPr>
        <w:t>tas</w:t>
      </w:r>
      <w:r w:rsidR="006C4BDE" w:rsidRPr="00DE53CC">
        <w:rPr>
          <w:color w:val="000000" w:themeColor="text1"/>
          <w:lang w:val="fr-FR"/>
        </w:rPr>
        <w:t xml:space="preserve"> </w:t>
      </w:r>
      <w:r w:rsidR="00483B1F" w:rsidRPr="00DE53CC">
        <w:rPr>
          <w:i/>
          <w:iCs/>
          <w:color w:val="000000" w:themeColor="text1"/>
          <w:lang w:val="fr-FR"/>
        </w:rPr>
        <w:t xml:space="preserve">/ load </w:t>
      </w:r>
      <w:r w:rsidR="006C4BDE" w:rsidRPr="00DE53CC">
        <w:rPr>
          <w:color w:val="000000" w:themeColor="text1"/>
          <w:lang w:val="fr-FR"/>
        </w:rPr>
        <w:t>(</w:t>
      </w:r>
      <w:r w:rsidR="000C4293" w:rsidRPr="00DE53CC">
        <w:rPr>
          <w:color w:val="000000" w:themeColor="text1"/>
          <w:lang w:val="fr-FR"/>
        </w:rPr>
        <w:t>noms de configuration</w:t>
      </w:r>
      <w:r w:rsidR="00483B1F" w:rsidRPr="00DE53CC">
        <w:rPr>
          <w:color w:val="000000" w:themeColor="text1"/>
          <w:lang w:val="fr-FR"/>
        </w:rPr>
        <w:t xml:space="preserve">, tous deux </w:t>
      </w:r>
      <w:r w:rsidR="002A48CD" w:rsidRPr="00DE53CC">
        <w:rPr>
          <w:color w:val="000000" w:themeColor="text1"/>
          <w:lang w:val="fr-FR"/>
        </w:rPr>
        <w:t>pour un ensemble</w:t>
      </w:r>
      <w:r w:rsidR="006C4BDE" w:rsidRPr="00DE53CC">
        <w:rPr>
          <w:color w:val="000000" w:themeColor="text1"/>
          <w:lang w:val="fr-FR"/>
        </w:rPr>
        <w:t xml:space="preserve"> assez informe). </w:t>
      </w:r>
      <w:r w:rsidR="000C4293" w:rsidRPr="00DE53CC">
        <w:rPr>
          <w:color w:val="000000" w:themeColor="text1"/>
          <w:lang w:val="fr-FR"/>
        </w:rPr>
        <w:t>L’objectif est double : voir si des récurrences existent pour des mots d’origine lexicale diverse, l’</w:t>
      </w:r>
      <w:r w:rsidR="000C4293" w:rsidRPr="00DE53CC">
        <w:rPr>
          <w:rFonts w:cstheme="minorHAnsi"/>
          <w:color w:val="000000" w:themeColor="text1"/>
          <w:lang w:val="fr-FR"/>
        </w:rPr>
        <w:t>É</w:t>
      </w:r>
      <w:r w:rsidR="000C4293" w:rsidRPr="00DE53CC">
        <w:rPr>
          <w:color w:val="000000" w:themeColor="text1"/>
          <w:lang w:val="fr-FR"/>
        </w:rPr>
        <w:t>chelle de Quantification n’ayant été élaborée que pour des noms collectifs ; et comprendre des similitudes ou différences inter-langues. L’objectif plus général est de voir s’il est possible</w:t>
      </w:r>
      <w:r w:rsidR="004A5B7F" w:rsidRPr="00DE53CC">
        <w:rPr>
          <w:color w:val="000000" w:themeColor="text1"/>
          <w:lang w:val="fr-FR"/>
        </w:rPr>
        <w:t xml:space="preserve"> d’</w:t>
      </w:r>
      <w:r w:rsidRPr="00DE53CC">
        <w:rPr>
          <w:color w:val="000000" w:themeColor="text1"/>
          <w:lang w:val="fr-FR"/>
        </w:rPr>
        <w:t>expliquer de man</w:t>
      </w:r>
      <w:r w:rsidR="00233F01" w:rsidRPr="00DE53CC">
        <w:rPr>
          <w:color w:val="000000" w:themeColor="text1"/>
          <w:lang w:val="fr-FR"/>
        </w:rPr>
        <w:t>i</w:t>
      </w:r>
      <w:r w:rsidRPr="00DE53CC">
        <w:rPr>
          <w:color w:val="000000" w:themeColor="text1"/>
          <w:lang w:val="fr-FR"/>
        </w:rPr>
        <w:t>ère unifiée ce qui peut conduire à une réanalyse comme quantificateur.</w:t>
      </w:r>
    </w:p>
    <w:p w14:paraId="44EC22D1" w14:textId="0FAC5D45" w:rsidR="00443253" w:rsidRPr="00DE53CC" w:rsidRDefault="000C4293" w:rsidP="00B50010">
      <w:pPr>
        <w:jc w:val="both"/>
        <w:rPr>
          <w:color w:val="000000" w:themeColor="text1"/>
          <w:lang w:val="fr-FR"/>
        </w:rPr>
      </w:pPr>
      <w:r w:rsidRPr="00DE53CC">
        <w:rPr>
          <w:color w:val="000000" w:themeColor="text1"/>
          <w:lang w:val="fr-FR"/>
        </w:rPr>
        <w:t>Pour étudier ces noms, nous avons procédé à une sélection randomisée de 300 occurrences de singulier et 300 de pluriel dans la configuration [N of/de], dans les corpus</w:t>
      </w:r>
      <w:r w:rsidR="00233F01" w:rsidRPr="00DE53CC">
        <w:rPr>
          <w:color w:val="000000" w:themeColor="text1"/>
          <w:lang w:val="fr-FR"/>
        </w:rPr>
        <w:t xml:space="preserve"> </w:t>
      </w:r>
      <w:proofErr w:type="spellStart"/>
      <w:r w:rsidRPr="00DE53CC">
        <w:rPr>
          <w:color w:val="000000" w:themeColor="text1"/>
          <w:lang w:val="fr-FR"/>
        </w:rPr>
        <w:t>TenTen</w:t>
      </w:r>
      <w:proofErr w:type="spellEnd"/>
      <w:r w:rsidRPr="00DE53CC">
        <w:rPr>
          <w:color w:val="000000" w:themeColor="text1"/>
          <w:lang w:val="fr-FR"/>
        </w:rPr>
        <w:t xml:space="preserve"> français et anglais – pour </w:t>
      </w:r>
      <w:r w:rsidRPr="00DE53CC">
        <w:rPr>
          <w:i/>
          <w:iCs/>
          <w:color w:val="000000" w:themeColor="text1"/>
          <w:lang w:val="fr-FR"/>
        </w:rPr>
        <w:t>tas</w:t>
      </w:r>
      <w:r w:rsidRPr="00DE53CC">
        <w:rPr>
          <w:color w:val="000000" w:themeColor="text1"/>
          <w:lang w:val="fr-FR"/>
        </w:rPr>
        <w:t xml:space="preserve">, de forme invariable, nous avons extrait 600 occurrences. </w:t>
      </w:r>
      <w:r w:rsidR="00496771" w:rsidRPr="00DE53CC">
        <w:rPr>
          <w:color w:val="000000" w:themeColor="text1"/>
          <w:lang w:val="fr-FR"/>
        </w:rPr>
        <w:t xml:space="preserve">Nous avons procédé ensuite à une annotation de </w:t>
      </w:r>
      <w:r w:rsidR="00C25657" w:rsidRPr="00DE53CC">
        <w:rPr>
          <w:color w:val="000000" w:themeColor="text1"/>
          <w:lang w:val="fr-FR"/>
        </w:rPr>
        <w:t>différentes propriétés</w:t>
      </w:r>
      <w:r w:rsidR="00443253" w:rsidRPr="00DE53CC">
        <w:rPr>
          <w:color w:val="000000" w:themeColor="text1"/>
          <w:lang w:val="fr-FR"/>
        </w:rPr>
        <w:t xml:space="preserve"> qui permettent de distinguer les quantificateurs faiblement et fortement grammaticalisés, reflétant la perte du statut de noyau ainsi que les spécifications lexicales de N1</w:t>
      </w:r>
      <w:r w:rsidR="00C25657" w:rsidRPr="00DE53CC">
        <w:rPr>
          <w:color w:val="000000" w:themeColor="text1"/>
          <w:lang w:val="fr-FR"/>
        </w:rPr>
        <w:t>. Parmi elles, citons :</w:t>
      </w:r>
    </w:p>
    <w:p w14:paraId="32009580" w14:textId="77777777" w:rsidR="00443253" w:rsidRPr="00DE53CC" w:rsidRDefault="00443253" w:rsidP="00B50010">
      <w:pPr>
        <w:pStyle w:val="Listenabsatz"/>
        <w:numPr>
          <w:ilvl w:val="0"/>
          <w:numId w:val="1"/>
        </w:numPr>
        <w:jc w:val="both"/>
        <w:rPr>
          <w:color w:val="000000" w:themeColor="text1"/>
          <w:lang w:val="fr-FR"/>
        </w:rPr>
      </w:pPr>
      <w:r w:rsidRPr="00DE53CC">
        <w:rPr>
          <w:color w:val="000000" w:themeColor="text1"/>
          <w:lang w:val="fr-FR"/>
        </w:rPr>
        <w:t>Différences dans l'utilisation des déterminants</w:t>
      </w:r>
    </w:p>
    <w:p w14:paraId="5B7426B7" w14:textId="758D4AF1" w:rsidR="00443253" w:rsidRPr="00DE53CC" w:rsidRDefault="00443253" w:rsidP="00B50010">
      <w:pPr>
        <w:pStyle w:val="Listenabsatz"/>
        <w:numPr>
          <w:ilvl w:val="0"/>
          <w:numId w:val="1"/>
        </w:numPr>
        <w:jc w:val="both"/>
        <w:rPr>
          <w:color w:val="000000" w:themeColor="text1"/>
          <w:lang w:val="fr-FR"/>
        </w:rPr>
      </w:pPr>
      <w:r w:rsidRPr="00DE53CC">
        <w:rPr>
          <w:color w:val="000000" w:themeColor="text1"/>
          <w:lang w:val="fr-FR"/>
        </w:rPr>
        <w:t>Préférences de N1 en matière de nombre</w:t>
      </w:r>
      <w:r w:rsidR="00233F01" w:rsidRPr="00DE53CC">
        <w:rPr>
          <w:color w:val="000000" w:themeColor="text1"/>
          <w:lang w:val="fr-FR"/>
        </w:rPr>
        <w:t xml:space="preserve">, </w:t>
      </w:r>
      <w:r w:rsidRPr="00DE53CC">
        <w:rPr>
          <w:color w:val="000000" w:themeColor="text1"/>
          <w:lang w:val="fr-FR"/>
        </w:rPr>
        <w:t xml:space="preserve">et effets du pluriel (cf. </w:t>
      </w:r>
      <w:r w:rsidRPr="00DE53CC">
        <w:rPr>
          <w:i/>
          <w:color w:val="000000" w:themeColor="text1"/>
          <w:lang w:val="fr-FR"/>
        </w:rPr>
        <w:t>a lot of</w:t>
      </w:r>
      <w:r w:rsidR="00233F01" w:rsidRPr="00DE53CC">
        <w:rPr>
          <w:i/>
          <w:color w:val="000000" w:themeColor="text1"/>
          <w:lang w:val="fr-FR"/>
        </w:rPr>
        <w:t xml:space="preserve">/ lots </w:t>
      </w:r>
      <w:proofErr w:type="gramStart"/>
      <w:r w:rsidR="00233F01" w:rsidRPr="00DE53CC">
        <w:rPr>
          <w:i/>
          <w:color w:val="000000" w:themeColor="text1"/>
          <w:lang w:val="fr-FR"/>
        </w:rPr>
        <w:t xml:space="preserve">of  </w:t>
      </w:r>
      <w:r w:rsidR="00233F01" w:rsidRPr="00DE53CC">
        <w:rPr>
          <w:iCs/>
          <w:color w:val="000000" w:themeColor="text1"/>
          <w:lang w:val="fr-FR"/>
        </w:rPr>
        <w:t>vs</w:t>
      </w:r>
      <w:proofErr w:type="gramEnd"/>
      <w:r w:rsidR="00233F01" w:rsidRPr="00DE53CC">
        <w:rPr>
          <w:iCs/>
          <w:color w:val="000000" w:themeColor="text1"/>
          <w:lang w:val="fr-FR"/>
        </w:rPr>
        <w:t>.</w:t>
      </w:r>
      <w:r w:rsidR="00233F01" w:rsidRPr="00DE53CC">
        <w:rPr>
          <w:i/>
          <w:color w:val="000000" w:themeColor="text1"/>
          <w:lang w:val="fr-FR"/>
        </w:rPr>
        <w:t xml:space="preserve"> </w:t>
      </w:r>
      <w:r w:rsidRPr="00DE53CC">
        <w:rPr>
          <w:color w:val="000000" w:themeColor="text1"/>
          <w:lang w:val="fr-FR"/>
        </w:rPr>
        <w:t xml:space="preserve"> </w:t>
      </w:r>
      <w:proofErr w:type="gramStart"/>
      <w:r w:rsidRPr="00DE53CC">
        <w:rPr>
          <w:i/>
          <w:iCs/>
          <w:color w:val="000000" w:themeColor="text1"/>
          <w:lang w:val="fr-FR"/>
        </w:rPr>
        <w:t>beaucoup</w:t>
      </w:r>
      <w:proofErr w:type="gramEnd"/>
      <w:r w:rsidRPr="00DE53CC">
        <w:rPr>
          <w:i/>
          <w:iCs/>
          <w:color w:val="000000" w:themeColor="text1"/>
          <w:lang w:val="fr-FR"/>
        </w:rPr>
        <w:t xml:space="preserve"> de</w:t>
      </w:r>
      <w:r w:rsidRPr="00DE53CC">
        <w:rPr>
          <w:color w:val="000000" w:themeColor="text1"/>
          <w:lang w:val="fr-FR"/>
        </w:rPr>
        <w:t>)</w:t>
      </w:r>
    </w:p>
    <w:p w14:paraId="5DD6C302" w14:textId="19BA28E6" w:rsidR="00443253" w:rsidRPr="00DE53CC" w:rsidRDefault="005C3347" w:rsidP="00B50010">
      <w:pPr>
        <w:pStyle w:val="Listenabsatz"/>
        <w:numPr>
          <w:ilvl w:val="0"/>
          <w:numId w:val="1"/>
        </w:numPr>
        <w:jc w:val="both"/>
        <w:rPr>
          <w:color w:val="000000" w:themeColor="text1"/>
          <w:lang w:val="fr-FR"/>
        </w:rPr>
      </w:pPr>
      <w:r w:rsidRPr="00DE53CC">
        <w:rPr>
          <w:color w:val="000000" w:themeColor="text1"/>
          <w:lang w:val="fr-FR"/>
        </w:rPr>
        <w:t>Perte de r</w:t>
      </w:r>
      <w:r w:rsidR="00443253" w:rsidRPr="00DE53CC">
        <w:rPr>
          <w:color w:val="000000" w:themeColor="text1"/>
          <w:lang w:val="fr-FR"/>
        </w:rPr>
        <w:t>estrictions sémantiques sur N2 indiquant une généralisation de N1</w:t>
      </w:r>
    </w:p>
    <w:p w14:paraId="1D2E9DD0" w14:textId="554BD0A3" w:rsidR="00443253" w:rsidRPr="00DE53CC" w:rsidRDefault="00443253" w:rsidP="00B50010">
      <w:pPr>
        <w:pStyle w:val="Listenabsatz"/>
        <w:numPr>
          <w:ilvl w:val="0"/>
          <w:numId w:val="1"/>
        </w:numPr>
        <w:jc w:val="both"/>
        <w:rPr>
          <w:color w:val="000000" w:themeColor="text1"/>
          <w:lang w:val="fr-FR"/>
        </w:rPr>
      </w:pPr>
      <w:r w:rsidRPr="00DE53CC">
        <w:rPr>
          <w:color w:val="000000" w:themeColor="text1"/>
          <w:lang w:val="fr-FR"/>
        </w:rPr>
        <w:t>Accord du verbe</w:t>
      </w:r>
      <w:r w:rsidR="00233F01" w:rsidRPr="00DE53CC">
        <w:rPr>
          <w:color w:val="000000" w:themeColor="text1"/>
          <w:lang w:val="fr-FR"/>
        </w:rPr>
        <w:t xml:space="preserve"> avec N2</w:t>
      </w:r>
    </w:p>
    <w:p w14:paraId="238D0AFD" w14:textId="2536BD7B" w:rsidR="00233F01" w:rsidRPr="00DE53CC" w:rsidRDefault="00233F01" w:rsidP="00B50010">
      <w:pPr>
        <w:pStyle w:val="Listenabsatz"/>
        <w:numPr>
          <w:ilvl w:val="0"/>
          <w:numId w:val="1"/>
        </w:numPr>
        <w:jc w:val="both"/>
        <w:rPr>
          <w:color w:val="000000" w:themeColor="text1"/>
          <w:lang w:val="fr-FR"/>
        </w:rPr>
      </w:pPr>
      <w:r w:rsidRPr="00DE53CC">
        <w:rPr>
          <w:color w:val="000000" w:themeColor="text1"/>
          <w:lang w:val="fr-FR"/>
        </w:rPr>
        <w:t>L’application de ces critères aux emplois métaphoriques qui, à priori, ne correspondent pas à des emplois grammaticalisés.</w:t>
      </w:r>
    </w:p>
    <w:p w14:paraId="716F1331" w14:textId="73E7416A" w:rsidR="00443253" w:rsidRPr="00DE53CC" w:rsidRDefault="00706C30" w:rsidP="00B50010">
      <w:pPr>
        <w:jc w:val="both"/>
        <w:rPr>
          <w:color w:val="000000" w:themeColor="text1"/>
          <w:lang w:val="fr-FR"/>
        </w:rPr>
      </w:pPr>
      <w:r w:rsidRPr="00DE53CC">
        <w:rPr>
          <w:color w:val="000000" w:themeColor="text1"/>
          <w:lang w:val="fr-FR"/>
        </w:rPr>
        <w:t>L’étude nous permet de confirmer</w:t>
      </w:r>
      <w:r w:rsidR="005C3347" w:rsidRPr="00DE53CC">
        <w:rPr>
          <w:color w:val="000000" w:themeColor="text1"/>
          <w:lang w:val="fr-FR"/>
        </w:rPr>
        <w:t xml:space="preserve">, </w:t>
      </w:r>
      <w:r w:rsidR="005C3347" w:rsidRPr="00DE53CC">
        <w:rPr>
          <w:i/>
          <w:iCs/>
          <w:color w:val="000000" w:themeColor="text1"/>
          <w:lang w:val="fr-FR"/>
        </w:rPr>
        <w:t xml:space="preserve">contra </w:t>
      </w:r>
      <w:r w:rsidR="005C3347" w:rsidRPr="00DE53CC">
        <w:rPr>
          <w:color w:val="000000" w:themeColor="text1"/>
          <w:lang w:val="fr-FR"/>
        </w:rPr>
        <w:t>certains travaux, qu’il n’est pas souhaitable de</w:t>
      </w:r>
      <w:r w:rsidRPr="00DE53CC">
        <w:rPr>
          <w:color w:val="000000" w:themeColor="text1"/>
          <w:lang w:val="fr-FR"/>
        </w:rPr>
        <w:t xml:space="preserve"> traiter toute métaphore comme un cas d’emploi quantificateur</w:t>
      </w:r>
      <w:r w:rsidR="005C3347" w:rsidRPr="00DE53CC">
        <w:rPr>
          <w:color w:val="000000" w:themeColor="text1"/>
          <w:lang w:val="fr-FR"/>
        </w:rPr>
        <w:t xml:space="preserve">. </w:t>
      </w:r>
      <w:r w:rsidR="00DE53CC" w:rsidRPr="00DE53CC">
        <w:rPr>
          <w:color w:val="000000" w:themeColor="text1"/>
          <w:lang w:val="fr-FR"/>
        </w:rPr>
        <w:t>Les résultats</w:t>
      </w:r>
      <w:r w:rsidRPr="00DE53CC">
        <w:rPr>
          <w:color w:val="000000" w:themeColor="text1"/>
          <w:lang w:val="fr-FR"/>
        </w:rPr>
        <w:t xml:space="preserve"> permet</w:t>
      </w:r>
      <w:r w:rsidR="00DE53CC" w:rsidRPr="00DE53CC">
        <w:rPr>
          <w:color w:val="000000" w:themeColor="text1"/>
          <w:lang w:val="fr-FR"/>
        </w:rPr>
        <w:t>tent</w:t>
      </w:r>
      <w:r w:rsidRPr="00DE53CC">
        <w:rPr>
          <w:color w:val="000000" w:themeColor="text1"/>
          <w:lang w:val="fr-FR"/>
        </w:rPr>
        <w:t xml:space="preserve"> </w:t>
      </w:r>
      <w:r w:rsidR="005C3347" w:rsidRPr="00DE53CC">
        <w:rPr>
          <w:color w:val="000000" w:themeColor="text1"/>
          <w:lang w:val="fr-FR"/>
        </w:rPr>
        <w:t xml:space="preserve">également </w:t>
      </w:r>
      <w:r w:rsidRPr="00DE53CC">
        <w:rPr>
          <w:color w:val="000000" w:themeColor="text1"/>
          <w:lang w:val="fr-FR"/>
        </w:rPr>
        <w:t>de progresser dans la compréhension des métaphores</w:t>
      </w:r>
      <w:r w:rsidR="005C3347" w:rsidRPr="00DE53CC">
        <w:rPr>
          <w:color w:val="000000" w:themeColor="text1"/>
          <w:lang w:val="fr-FR"/>
        </w:rPr>
        <w:t xml:space="preserve"> et des conditions à l’emploi quantificateur</w:t>
      </w:r>
      <w:r w:rsidRPr="00DE53CC">
        <w:rPr>
          <w:color w:val="000000" w:themeColor="text1"/>
          <w:lang w:val="fr-FR"/>
        </w:rPr>
        <w:t xml:space="preserve">. </w:t>
      </w:r>
      <w:r w:rsidR="005C3347" w:rsidRPr="00DE53CC">
        <w:rPr>
          <w:color w:val="000000" w:themeColor="text1"/>
          <w:lang w:val="fr-FR"/>
        </w:rPr>
        <w:t>L’étud</w:t>
      </w:r>
      <w:r w:rsidRPr="00DE53CC">
        <w:rPr>
          <w:color w:val="000000" w:themeColor="text1"/>
          <w:lang w:val="fr-FR"/>
        </w:rPr>
        <w:t xml:space="preserve">e confirme </w:t>
      </w:r>
      <w:r w:rsidR="00DE53CC" w:rsidRPr="00DE53CC">
        <w:rPr>
          <w:color w:val="000000" w:themeColor="text1"/>
          <w:lang w:val="fr-FR"/>
        </w:rPr>
        <w:t>en outre</w:t>
      </w:r>
      <w:r w:rsidRPr="00DE53CC">
        <w:rPr>
          <w:color w:val="000000" w:themeColor="text1"/>
          <w:lang w:val="fr-FR"/>
        </w:rPr>
        <w:t xml:space="preserve"> </w:t>
      </w:r>
      <w:r w:rsidR="005C3347" w:rsidRPr="00DE53CC">
        <w:rPr>
          <w:color w:val="000000" w:themeColor="text1"/>
          <w:lang w:val="fr-FR"/>
        </w:rPr>
        <w:t>des</w:t>
      </w:r>
      <w:r w:rsidRPr="00DE53CC">
        <w:rPr>
          <w:color w:val="000000" w:themeColor="text1"/>
          <w:lang w:val="fr-FR"/>
        </w:rPr>
        <w:t xml:space="preserve"> différences de comportement grammatical</w:t>
      </w:r>
      <w:r w:rsidR="005C3347" w:rsidRPr="00DE53CC">
        <w:rPr>
          <w:color w:val="000000" w:themeColor="text1"/>
          <w:lang w:val="fr-FR"/>
        </w:rPr>
        <w:t xml:space="preserve"> récurrentes</w:t>
      </w:r>
      <w:r w:rsidRPr="00DE53CC">
        <w:rPr>
          <w:color w:val="000000" w:themeColor="text1"/>
          <w:lang w:val="fr-FR"/>
        </w:rPr>
        <w:t xml:space="preserve"> entre les</w:t>
      </w:r>
      <w:r w:rsidR="005C3347" w:rsidRPr="00DE53CC">
        <w:rPr>
          <w:color w:val="000000" w:themeColor="text1"/>
          <w:lang w:val="fr-FR"/>
        </w:rPr>
        <w:t xml:space="preserve"> types d’</w:t>
      </w:r>
      <w:r w:rsidRPr="00DE53CC">
        <w:rPr>
          <w:color w:val="000000" w:themeColor="text1"/>
          <w:lang w:val="fr-FR"/>
        </w:rPr>
        <w:t>emplois (détermination, modification, accord du verbe),</w:t>
      </w:r>
      <w:r w:rsidR="005C3347" w:rsidRPr="00DE53CC">
        <w:rPr>
          <w:color w:val="000000" w:themeColor="text1"/>
          <w:lang w:val="fr-FR"/>
        </w:rPr>
        <w:t xml:space="preserve"> mais pas toujours avec restriction à l’article indéfini pour l’emploi quantificateur en français,</w:t>
      </w:r>
      <w:r w:rsidRPr="00DE53CC">
        <w:rPr>
          <w:color w:val="000000" w:themeColor="text1"/>
          <w:lang w:val="fr-FR"/>
        </w:rPr>
        <w:t xml:space="preserve"> et </w:t>
      </w:r>
      <w:r w:rsidR="005C3347" w:rsidRPr="00DE53CC">
        <w:rPr>
          <w:color w:val="000000" w:themeColor="text1"/>
          <w:lang w:val="fr-FR"/>
        </w:rPr>
        <w:t>montre l’</w:t>
      </w:r>
      <w:r w:rsidRPr="00DE53CC">
        <w:rPr>
          <w:color w:val="000000" w:themeColor="text1"/>
          <w:lang w:val="fr-FR"/>
        </w:rPr>
        <w:t xml:space="preserve">importance </w:t>
      </w:r>
      <w:r w:rsidR="005C3347" w:rsidRPr="00DE53CC">
        <w:rPr>
          <w:color w:val="000000" w:themeColor="text1"/>
          <w:lang w:val="fr-FR"/>
        </w:rPr>
        <w:t>du critère sémantique des restrictions sur N2</w:t>
      </w:r>
      <w:r w:rsidRPr="00DE53CC">
        <w:rPr>
          <w:color w:val="000000" w:themeColor="text1"/>
          <w:lang w:val="fr-FR"/>
        </w:rPr>
        <w:t>.</w:t>
      </w:r>
    </w:p>
    <w:p w14:paraId="5A81384C" w14:textId="77777777" w:rsidR="00C25657" w:rsidRPr="00DE53CC" w:rsidRDefault="00C25657" w:rsidP="00B50010">
      <w:pPr>
        <w:jc w:val="both"/>
        <w:rPr>
          <w:color w:val="000000" w:themeColor="text1"/>
          <w:lang w:val="fr-FR"/>
        </w:rPr>
      </w:pPr>
    </w:p>
    <w:p w14:paraId="194E5BA3" w14:textId="40D32BE9" w:rsidR="00033810" w:rsidRPr="00DE53CC" w:rsidRDefault="00443253" w:rsidP="00B50010">
      <w:pPr>
        <w:jc w:val="both"/>
        <w:rPr>
          <w:color w:val="000000" w:themeColor="text1"/>
          <w:lang w:val="en-US"/>
        </w:rPr>
      </w:pPr>
      <w:r w:rsidRPr="00DE53CC">
        <w:rPr>
          <w:color w:val="000000" w:themeColor="text1"/>
          <w:u w:val="single"/>
          <w:lang w:val="en-US"/>
        </w:rPr>
        <w:t>Bibliographie</w:t>
      </w:r>
    </w:p>
    <w:p w14:paraId="6BE3EC51" w14:textId="485B0D7F" w:rsidR="00F35D2F" w:rsidRPr="00DE53CC" w:rsidRDefault="00F35D2F" w:rsidP="008D70FD">
      <w:pPr>
        <w:spacing w:after="40" w:line="257" w:lineRule="auto"/>
        <w:ind w:left="142" w:hanging="142"/>
        <w:jc w:val="both"/>
        <w:rPr>
          <w:color w:val="000000" w:themeColor="text1"/>
        </w:rPr>
      </w:pPr>
      <w:r w:rsidRPr="00DE53CC">
        <w:rPr>
          <w:color w:val="000000" w:themeColor="text1"/>
        </w:rPr>
        <w:lastRenderedPageBreak/>
        <w:t xml:space="preserve">Brems, Liselotte. 2003. Measure Noun constructions: An instance of semantically-driven grammaticalization. </w:t>
      </w:r>
      <w:r w:rsidRPr="00DE53CC">
        <w:rPr>
          <w:i/>
          <w:iCs/>
          <w:color w:val="000000" w:themeColor="text1"/>
        </w:rPr>
        <w:t>International Journal of Corpus Linguistics</w:t>
      </w:r>
      <w:r w:rsidRPr="00DE53CC">
        <w:rPr>
          <w:color w:val="000000" w:themeColor="text1"/>
        </w:rPr>
        <w:t xml:space="preserve"> 8.2: 283-312.</w:t>
      </w:r>
    </w:p>
    <w:p w14:paraId="6B3AC663" w14:textId="2B6D2F0E" w:rsidR="00F35D2F" w:rsidRPr="00DE53CC" w:rsidRDefault="00F35D2F" w:rsidP="008D70FD">
      <w:pPr>
        <w:spacing w:after="40" w:line="257" w:lineRule="auto"/>
        <w:ind w:left="142" w:hanging="142"/>
        <w:jc w:val="both"/>
        <w:rPr>
          <w:color w:val="000000" w:themeColor="text1"/>
        </w:rPr>
      </w:pPr>
      <w:r w:rsidRPr="00DE53CC">
        <w:rPr>
          <w:color w:val="000000" w:themeColor="text1"/>
        </w:rPr>
        <w:t xml:space="preserve">De Vries, Hanna. 2017. Two kinds of distributivity. </w:t>
      </w:r>
      <w:r w:rsidRPr="00DE53CC">
        <w:rPr>
          <w:i/>
          <w:iCs/>
          <w:color w:val="000000" w:themeColor="text1"/>
        </w:rPr>
        <w:t>Natural Language Semantics</w:t>
      </w:r>
      <w:r w:rsidRPr="00DE53CC">
        <w:rPr>
          <w:color w:val="000000" w:themeColor="text1"/>
        </w:rPr>
        <w:t xml:space="preserve"> 25: 173-197.</w:t>
      </w:r>
    </w:p>
    <w:p w14:paraId="1817BE47" w14:textId="72A2D2F0" w:rsidR="00FF0EC3" w:rsidRPr="00DE53CC" w:rsidRDefault="00FF0EC3" w:rsidP="008D70FD">
      <w:pPr>
        <w:spacing w:after="40" w:line="257" w:lineRule="auto"/>
        <w:ind w:left="142" w:hanging="142"/>
        <w:jc w:val="both"/>
        <w:rPr>
          <w:color w:val="000000" w:themeColor="text1"/>
        </w:rPr>
      </w:pPr>
      <w:proofErr w:type="spellStart"/>
      <w:r w:rsidRPr="00DE53CC">
        <w:rPr>
          <w:color w:val="000000" w:themeColor="text1"/>
        </w:rPr>
        <w:t>Delbecque</w:t>
      </w:r>
      <w:proofErr w:type="spellEnd"/>
      <w:r w:rsidRPr="00DE53CC">
        <w:rPr>
          <w:color w:val="000000" w:themeColor="text1"/>
        </w:rPr>
        <w:t xml:space="preserve">, Nicole &amp; Katrien </w:t>
      </w:r>
      <w:proofErr w:type="spellStart"/>
      <w:r w:rsidRPr="00DE53CC">
        <w:rPr>
          <w:color w:val="000000" w:themeColor="text1"/>
        </w:rPr>
        <w:t>Verveckken</w:t>
      </w:r>
      <w:proofErr w:type="spellEnd"/>
      <w:r w:rsidRPr="00DE53CC">
        <w:rPr>
          <w:color w:val="000000" w:themeColor="text1"/>
        </w:rPr>
        <w:t>. 201</w:t>
      </w:r>
      <w:r w:rsidR="008E5689" w:rsidRPr="00DE53CC">
        <w:rPr>
          <w:color w:val="000000" w:themeColor="text1"/>
        </w:rPr>
        <w:t>4</w:t>
      </w:r>
      <w:r w:rsidRPr="00DE53CC">
        <w:rPr>
          <w:color w:val="000000" w:themeColor="text1"/>
        </w:rPr>
        <w:t xml:space="preserve">. Conceptually driven analogy in the grammaticalization of Spanish binominal quantifiers. </w:t>
      </w:r>
      <w:r w:rsidRPr="00DE53CC">
        <w:rPr>
          <w:i/>
          <w:iCs/>
          <w:color w:val="000000" w:themeColor="text1"/>
        </w:rPr>
        <w:t>Linguistics</w:t>
      </w:r>
      <w:r w:rsidRPr="00DE53CC">
        <w:rPr>
          <w:color w:val="000000" w:themeColor="text1"/>
        </w:rPr>
        <w:t xml:space="preserve"> 52.3: </w:t>
      </w:r>
      <w:r w:rsidR="008E5689" w:rsidRPr="00DE53CC">
        <w:rPr>
          <w:color w:val="000000" w:themeColor="text1"/>
        </w:rPr>
        <w:t>637-684.</w:t>
      </w:r>
    </w:p>
    <w:p w14:paraId="25B2882D" w14:textId="1354D56D" w:rsidR="008E5689" w:rsidRPr="00DE53CC" w:rsidRDefault="008E5689" w:rsidP="008D70FD">
      <w:pPr>
        <w:spacing w:after="40" w:line="257" w:lineRule="auto"/>
        <w:ind w:left="142" w:hanging="142"/>
        <w:jc w:val="both"/>
        <w:rPr>
          <w:color w:val="000000" w:themeColor="text1"/>
        </w:rPr>
      </w:pPr>
      <w:r w:rsidRPr="00DE53CC">
        <w:rPr>
          <w:color w:val="000000" w:themeColor="text1"/>
        </w:rPr>
        <w:t xml:space="preserve">Doetjes, Jenny. 2006. Adverbs and quantification: Degrees versus frequency. </w:t>
      </w:r>
      <w:r w:rsidRPr="00DE53CC">
        <w:rPr>
          <w:i/>
          <w:iCs/>
          <w:color w:val="000000" w:themeColor="text1"/>
        </w:rPr>
        <w:t>Lingua</w:t>
      </w:r>
      <w:r w:rsidRPr="00DE53CC">
        <w:rPr>
          <w:color w:val="000000" w:themeColor="text1"/>
        </w:rPr>
        <w:t xml:space="preserve"> 117: 685-720.</w:t>
      </w:r>
    </w:p>
    <w:p w14:paraId="68009FEE" w14:textId="114D2B86" w:rsidR="00F35D2F" w:rsidRPr="00DE53CC" w:rsidRDefault="00F35D2F" w:rsidP="008D70FD">
      <w:pPr>
        <w:spacing w:after="40" w:line="257" w:lineRule="auto"/>
        <w:ind w:left="142" w:hanging="142"/>
        <w:jc w:val="both"/>
        <w:rPr>
          <w:color w:val="000000" w:themeColor="text1"/>
        </w:rPr>
      </w:pPr>
      <w:r w:rsidRPr="00DE53CC">
        <w:rPr>
          <w:color w:val="000000" w:themeColor="text1"/>
        </w:rPr>
        <w:t xml:space="preserve">Francis, Elaine J. 1998. When form and meaning come apart: quantificational nouns, predicate nominals, and locative subjects in English. </w:t>
      </w:r>
      <w:r w:rsidRPr="00DE53CC">
        <w:rPr>
          <w:i/>
          <w:iCs/>
          <w:color w:val="000000" w:themeColor="text1"/>
        </w:rPr>
        <w:t xml:space="preserve">Chicago Linguistic Society </w:t>
      </w:r>
      <w:r w:rsidRPr="00DE53CC">
        <w:rPr>
          <w:color w:val="000000" w:themeColor="text1"/>
        </w:rPr>
        <w:t>34.1: 159-170.</w:t>
      </w:r>
    </w:p>
    <w:p w14:paraId="3821E1FE" w14:textId="36440E43" w:rsidR="00430FB4" w:rsidRPr="00DE53CC" w:rsidRDefault="00430FB4" w:rsidP="008D70FD">
      <w:pPr>
        <w:spacing w:after="40" w:line="257" w:lineRule="auto"/>
        <w:ind w:left="142" w:hanging="142"/>
        <w:jc w:val="both"/>
        <w:rPr>
          <w:color w:val="000000" w:themeColor="text1"/>
        </w:rPr>
      </w:pPr>
      <w:r w:rsidRPr="00DE53CC">
        <w:rPr>
          <w:color w:val="000000" w:themeColor="text1"/>
        </w:rPr>
        <w:t xml:space="preserve">Gardelle, Laure. </w:t>
      </w:r>
      <w:r w:rsidR="00B50010" w:rsidRPr="00DE53CC">
        <w:rPr>
          <w:color w:val="000000" w:themeColor="text1"/>
        </w:rPr>
        <w:t xml:space="preserve">2019. </w:t>
      </w:r>
      <w:r w:rsidR="00B50010" w:rsidRPr="00DE53CC">
        <w:rPr>
          <w:i/>
          <w:iCs/>
          <w:color w:val="000000" w:themeColor="text1"/>
        </w:rPr>
        <w:t>Semantic Plurality</w:t>
      </w:r>
      <w:r w:rsidR="00F35D2F" w:rsidRPr="00DE53CC">
        <w:rPr>
          <w:i/>
          <w:iCs/>
          <w:color w:val="000000" w:themeColor="text1"/>
        </w:rPr>
        <w:t>.</w:t>
      </w:r>
      <w:r w:rsidR="00B50010" w:rsidRPr="00DE53CC">
        <w:rPr>
          <w:i/>
          <w:iCs/>
          <w:color w:val="000000" w:themeColor="text1"/>
        </w:rPr>
        <w:t xml:space="preserve"> English </w:t>
      </w:r>
      <w:r w:rsidR="00B50010" w:rsidRPr="00DE53CC">
        <w:rPr>
          <w:rStyle w:val="Hervorhebung"/>
          <w:color w:val="000000" w:themeColor="text1"/>
        </w:rPr>
        <w:t>collective nouns</w:t>
      </w:r>
      <w:r w:rsidR="00B50010" w:rsidRPr="00DE53CC">
        <w:rPr>
          <w:i/>
          <w:iCs/>
          <w:color w:val="000000" w:themeColor="text1"/>
        </w:rPr>
        <w:t xml:space="preserve"> and other ways of denoting pluralities of entities</w:t>
      </w:r>
      <w:r w:rsidR="00B50010" w:rsidRPr="00DE53CC">
        <w:rPr>
          <w:color w:val="000000" w:themeColor="text1"/>
        </w:rPr>
        <w:t>. Amsterdam: John Benjamins.</w:t>
      </w:r>
    </w:p>
    <w:p w14:paraId="79685F86" w14:textId="41D812AB" w:rsidR="00F35D2F" w:rsidRPr="00DE53CC" w:rsidRDefault="00F35D2F" w:rsidP="008D70FD">
      <w:pPr>
        <w:spacing w:after="40" w:line="257" w:lineRule="auto"/>
        <w:ind w:left="142" w:hanging="142"/>
        <w:jc w:val="both"/>
        <w:rPr>
          <w:color w:val="000000" w:themeColor="text1"/>
        </w:rPr>
      </w:pPr>
      <w:r w:rsidRPr="00DE53CC">
        <w:rPr>
          <w:color w:val="000000" w:themeColor="text1"/>
        </w:rPr>
        <w:t xml:space="preserve">Klockmann, Heidi. 2017a. </w:t>
      </w:r>
      <w:r w:rsidRPr="00DE53CC">
        <w:rPr>
          <w:i/>
          <w:iCs/>
          <w:color w:val="000000" w:themeColor="text1"/>
        </w:rPr>
        <w:t>The Design of Semi-lexicality. Evidence from case and agreement in the nominal domain.</w:t>
      </w:r>
      <w:r w:rsidRPr="00DE53CC">
        <w:rPr>
          <w:color w:val="000000" w:themeColor="text1"/>
        </w:rPr>
        <w:t xml:space="preserve"> Utrecht: LOT.</w:t>
      </w:r>
    </w:p>
    <w:p w14:paraId="55FA700D" w14:textId="59181565" w:rsidR="00F35D2F" w:rsidRPr="00DE53CC" w:rsidRDefault="00F35D2F" w:rsidP="008D70FD">
      <w:pPr>
        <w:spacing w:after="40" w:line="257" w:lineRule="auto"/>
        <w:ind w:left="142" w:hanging="142"/>
        <w:jc w:val="both"/>
        <w:rPr>
          <w:color w:val="000000" w:themeColor="text1"/>
        </w:rPr>
      </w:pPr>
      <w:r w:rsidRPr="00DE53CC">
        <w:rPr>
          <w:color w:val="000000" w:themeColor="text1"/>
        </w:rPr>
        <w:t>Klockmann, Heidi. 2017b. The semi-lexicality of quantificational nouns in English pseudopartitives. Com-Syn Talk, Leiden University, 20 April 2017.</w:t>
      </w:r>
    </w:p>
    <w:p w14:paraId="5588C37D" w14:textId="77777777" w:rsidR="00D558C4" w:rsidRPr="00DE53CC" w:rsidRDefault="00D558C4" w:rsidP="00D558C4">
      <w:pPr>
        <w:spacing w:after="0"/>
        <w:ind w:left="283" w:hanging="283"/>
        <w:rPr>
          <w:rFonts w:eastAsia="Calibri" w:cs="Times New Roman"/>
          <w:color w:val="000000" w:themeColor="text1"/>
          <w:lang w:eastAsia="de-DE"/>
        </w:rPr>
      </w:pPr>
      <w:r w:rsidRPr="00DE53CC">
        <w:rPr>
          <w:rFonts w:eastAsia="Calibri" w:cs="Times New Roman"/>
          <w:color w:val="000000" w:themeColor="text1"/>
          <w:lang w:eastAsia="de-DE"/>
        </w:rPr>
        <w:t xml:space="preserve">Mihatsch, Wiltrud. 2016. Collectives, object mass nouns and individual count nouns: Nouns between lexical and inflectional plural marking. </w:t>
      </w:r>
      <w:proofErr w:type="spellStart"/>
      <w:r w:rsidRPr="00DE53CC">
        <w:rPr>
          <w:rFonts w:eastAsia="Calibri" w:cs="Times New Roman"/>
          <w:i/>
          <w:iCs/>
          <w:color w:val="000000" w:themeColor="text1"/>
          <w:lang w:eastAsia="de-DE"/>
        </w:rPr>
        <w:t>Lingvisticae</w:t>
      </w:r>
      <w:proofErr w:type="spellEnd"/>
      <w:r w:rsidRPr="00DE53CC">
        <w:rPr>
          <w:rFonts w:eastAsia="Calibri" w:cs="Times New Roman"/>
          <w:i/>
          <w:iCs/>
          <w:color w:val="000000" w:themeColor="text1"/>
          <w:lang w:eastAsia="de-DE"/>
        </w:rPr>
        <w:t xml:space="preserve"> </w:t>
      </w:r>
      <w:proofErr w:type="spellStart"/>
      <w:r w:rsidRPr="00DE53CC">
        <w:rPr>
          <w:rFonts w:eastAsia="Calibri" w:cs="Times New Roman"/>
          <w:i/>
          <w:iCs/>
          <w:color w:val="000000" w:themeColor="text1"/>
          <w:lang w:eastAsia="de-DE"/>
        </w:rPr>
        <w:t>investigationes</w:t>
      </w:r>
      <w:proofErr w:type="spellEnd"/>
      <w:r w:rsidRPr="00DE53CC">
        <w:rPr>
          <w:rFonts w:eastAsia="Calibri" w:cs="Times New Roman"/>
          <w:color w:val="000000" w:themeColor="text1"/>
          <w:lang w:eastAsia="de-DE"/>
        </w:rPr>
        <w:t xml:space="preserve"> 39. 289–308.</w:t>
      </w:r>
    </w:p>
    <w:p w14:paraId="50A72E09" w14:textId="574B8B6E" w:rsidR="008E5689" w:rsidRPr="00DE53CC" w:rsidRDefault="008E5689" w:rsidP="008D70FD">
      <w:pPr>
        <w:spacing w:after="40" w:line="257" w:lineRule="auto"/>
        <w:ind w:left="142" w:hanging="142"/>
        <w:jc w:val="both"/>
        <w:rPr>
          <w:color w:val="000000" w:themeColor="text1"/>
        </w:rPr>
      </w:pPr>
      <w:r w:rsidRPr="00DE53CC">
        <w:rPr>
          <w:color w:val="000000" w:themeColor="text1"/>
        </w:rPr>
        <w:t xml:space="preserve">Mihatsch, Wiltrud. 2023. General introduction: Taxonomic nouns and their derived functions in Germanic, Romance and Slavic languages. In Wiltrud Mihatsch et al. (eds.), </w:t>
      </w:r>
      <w:r w:rsidRPr="00DE53CC">
        <w:rPr>
          <w:i/>
          <w:iCs/>
          <w:color w:val="000000" w:themeColor="text1"/>
        </w:rPr>
        <w:t>Type Noun Constructions in Slavic, Germanic, and Romance Languages - Semantics and pragmatics on the move</w:t>
      </w:r>
      <w:r w:rsidRPr="00DE53CC">
        <w:rPr>
          <w:color w:val="000000" w:themeColor="text1"/>
        </w:rPr>
        <w:t>. Berlin, Boston: De Gruyter Mouton, 1-52.</w:t>
      </w:r>
    </w:p>
    <w:p w14:paraId="3D8ECF11" w14:textId="12708C1E" w:rsidR="00AB064F" w:rsidRPr="00DE53CC" w:rsidRDefault="00AB064F" w:rsidP="008D70FD">
      <w:pPr>
        <w:spacing w:after="40" w:line="257" w:lineRule="auto"/>
        <w:ind w:left="142" w:hanging="142"/>
        <w:jc w:val="both"/>
        <w:rPr>
          <w:color w:val="000000" w:themeColor="text1"/>
        </w:rPr>
      </w:pPr>
      <w:r w:rsidRPr="00DE53CC">
        <w:rPr>
          <w:color w:val="000000" w:themeColor="text1"/>
        </w:rPr>
        <w:t>Schwarzschild, Roger. 2011. Stubborn Distributivity, Multiparticipant Nouns and the Count/Mass Distinction. In Suzi Lima, Kevin Mullin, and Brian Smith (eds.),</w:t>
      </w:r>
      <w:r w:rsidRPr="00DE53CC">
        <w:rPr>
          <w:i/>
          <w:iCs/>
          <w:color w:val="000000" w:themeColor="text1"/>
        </w:rPr>
        <w:t xml:space="preserve"> Proceedings of NELS 39</w:t>
      </w:r>
      <w:r w:rsidRPr="00DE53CC">
        <w:rPr>
          <w:color w:val="000000" w:themeColor="text1"/>
        </w:rPr>
        <w:t>, Amherst, MA: GLSA, 661-678.</w:t>
      </w:r>
    </w:p>
    <w:sectPr w:rsidR="00AB064F" w:rsidRPr="00DE53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123CD"/>
    <w:multiLevelType w:val="hybridMultilevel"/>
    <w:tmpl w:val="7212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22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53"/>
    <w:rsid w:val="00033810"/>
    <w:rsid w:val="000529AC"/>
    <w:rsid w:val="000C4293"/>
    <w:rsid w:val="000E1D89"/>
    <w:rsid w:val="00152EC8"/>
    <w:rsid w:val="00172571"/>
    <w:rsid w:val="00187ADA"/>
    <w:rsid w:val="00191896"/>
    <w:rsid w:val="00233F01"/>
    <w:rsid w:val="002A48CD"/>
    <w:rsid w:val="002E7622"/>
    <w:rsid w:val="002F6901"/>
    <w:rsid w:val="00323D1D"/>
    <w:rsid w:val="003C62FD"/>
    <w:rsid w:val="00430FB4"/>
    <w:rsid w:val="00443253"/>
    <w:rsid w:val="00483B1F"/>
    <w:rsid w:val="00496771"/>
    <w:rsid w:val="004A5B7F"/>
    <w:rsid w:val="004E4577"/>
    <w:rsid w:val="005C3347"/>
    <w:rsid w:val="005E2983"/>
    <w:rsid w:val="00651C1A"/>
    <w:rsid w:val="00695CAF"/>
    <w:rsid w:val="006C4BDE"/>
    <w:rsid w:val="006D4133"/>
    <w:rsid w:val="00706C30"/>
    <w:rsid w:val="007E52FF"/>
    <w:rsid w:val="008D70FD"/>
    <w:rsid w:val="008E5689"/>
    <w:rsid w:val="0092148D"/>
    <w:rsid w:val="009830A9"/>
    <w:rsid w:val="00997E6E"/>
    <w:rsid w:val="00AB064F"/>
    <w:rsid w:val="00B10C98"/>
    <w:rsid w:val="00B50010"/>
    <w:rsid w:val="00B875CD"/>
    <w:rsid w:val="00C25657"/>
    <w:rsid w:val="00C27768"/>
    <w:rsid w:val="00D16230"/>
    <w:rsid w:val="00D558C4"/>
    <w:rsid w:val="00DE53CC"/>
    <w:rsid w:val="00E01CB6"/>
    <w:rsid w:val="00E30250"/>
    <w:rsid w:val="00E85FBB"/>
    <w:rsid w:val="00F037EA"/>
    <w:rsid w:val="00F35D2F"/>
    <w:rsid w:val="00FF0EC3"/>
    <w:rsid w:val="00FF59E3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55C0"/>
  <w15:chartTrackingRefBased/>
  <w15:docId w15:val="{C5EC21A1-7AD3-4E46-BBD6-EB14A622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3253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432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32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325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325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325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325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325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325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325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32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3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325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3253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3253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325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325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325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32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3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3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325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3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325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325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3253"/>
    <w:pPr>
      <w:spacing w:line="259" w:lineRule="auto"/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3253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325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3253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3253"/>
    <w:rPr>
      <w:b/>
      <w:bCs/>
      <w:smallCaps/>
      <w:color w:val="2E74B5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5B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A5B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A5B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5B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5B7F"/>
    <w:rPr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B50010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8E5689"/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Wiltrud Mihatsch</dc:creator>
  <cp:keywords/>
  <dc:description/>
  <cp:lastModifiedBy>Wiltrud Mihatsch</cp:lastModifiedBy>
  <cp:revision>4</cp:revision>
  <dcterms:created xsi:type="dcterms:W3CDTF">2025-02-26T16:18:00Z</dcterms:created>
  <dcterms:modified xsi:type="dcterms:W3CDTF">2025-02-27T12:26:00Z</dcterms:modified>
</cp:coreProperties>
</file>